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практике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размещения на интерактивной выставке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«Инновационные социальные проекты субъектов Российской Федерации»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XVI</w:t>
      </w:r>
      <w:r>
        <w:rPr>
          <w:rFonts w:ascii="Times New Roman" w:hAnsi="Times New Roman"/>
          <w:bCs/>
          <w:sz w:val="24"/>
          <w:szCs w:val="24"/>
        </w:rPr>
        <w:t xml:space="preserve"> Всероссийского форума «Вместе – ради детей! Быть рядом!» 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87"/>
        <w:tblW w:w="9640" w:type="dxa"/>
        <w:tblInd w:w="-147" w:type="dxa"/>
        <w:tblLook w:val="04A0" w:firstRow="1" w:lastRow="0" w:firstColumn="1" w:lastColumn="0" w:noHBand="0" w:noVBand="1"/>
      </w:tblPr>
      <w:tblGrid>
        <w:gridCol w:w="3939"/>
        <w:gridCol w:w="5701"/>
      </w:tblGrid>
      <w:tr>
        <w:tblPrEx/>
        <w:trPr>
          <w:trHeight w:val="265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Номинация *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детям в особых жизненных ситуациях, формирующих психоэмоциональную травму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Название практики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Комплексная программа социальной адаптации несовершеннолетних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ПРОжизнь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»: правила расстановки ориентиров на жизненном пути»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716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Организация – носитель практики: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92"/>
              <w:contextualSpacing w:val="0"/>
              <w:ind w:left="0"/>
            </w:pPr>
            <w:r>
              <w:t xml:space="preserve">3.1. полное юридическое наименование организации;</w:t>
            </w:r>
            <w:r/>
          </w:p>
          <w:p>
            <w:pPr>
              <w:pStyle w:val="892"/>
              <w:ind w:left="0"/>
            </w:pPr>
            <w:r>
              <w:t xml:space="preserve">3.2. учредитель;</w:t>
            </w:r>
            <w:r/>
          </w:p>
          <w:p>
            <w:pPr>
              <w:pStyle w:val="892"/>
              <w:ind w:left="0"/>
            </w:pPr>
            <w:r>
              <w:t xml:space="preserve">3.3. руководитель организации; </w:t>
            </w:r>
            <w:r/>
          </w:p>
          <w:p>
            <w:pPr>
              <w:pStyle w:val="892"/>
              <w:ind w:left="0"/>
            </w:pPr>
            <w:r>
              <w:t xml:space="preserve">3.4. адрес;</w:t>
            </w:r>
            <w:r/>
          </w:p>
          <w:p>
            <w:pPr>
              <w:pStyle w:val="892"/>
              <w:ind w:left="0"/>
            </w:pPr>
            <w:r>
              <w:t xml:space="preserve">3.5. телефон;</w:t>
            </w:r>
            <w:r/>
          </w:p>
          <w:p>
            <w:pPr>
              <w:pStyle w:val="892"/>
              <w:ind w:left="0"/>
              <w:rPr>
                <w:color w:val="ff0000"/>
              </w:rPr>
            </w:pPr>
            <w:r>
              <w:t xml:space="preserve">3.6. электронная почта;</w:t>
            </w:r>
            <w:r>
              <w:rPr>
                <w:color w:val="ff0000"/>
              </w:rPr>
            </w:r>
          </w:p>
          <w:p>
            <w:pPr>
              <w:pStyle w:val="892"/>
              <w:ind w:left="0"/>
              <w:rPr>
                <w:color w:val="ff0000"/>
              </w:rPr>
            </w:pPr>
            <w:r>
              <w:t xml:space="preserve">3.7. официальный сайт организации</w:t>
            </w:r>
            <w:r>
              <w:rPr>
                <w:color w:val="ff0000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Бюджетное учреждение Ханты-Мансийского автономного округа – Югры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округ – Югра.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Ронжина Галина Федоровна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9"/>
              <w:jc w:val="both"/>
              <w:rPr>
                <w:rFonts w:ascii="Times New Roman" w:hAnsi="Times New Roman" w:cs="Times New Roman"/>
                <w:bCs/>
                <w:color w:val="1f1a17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bCs/>
                <w:color w:val="1f1a17"/>
                <w:spacing w:val="0"/>
                <w:sz w:val="24"/>
                <w:szCs w:val="24"/>
              </w:rPr>
              <w:t xml:space="preserve">628418, 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Ханты</w:t>
            </w:r>
            <w:r>
              <w:rPr>
                <w:rFonts w:ascii="Times New Roman" w:hAnsi="Times New Roman" w:eastAsia="Times New Roman" w:cs="Times New Roman"/>
                <w:bCs/>
                <w:spacing w:val="0"/>
                <w:sz w:val="24"/>
                <w:szCs w:val="24"/>
              </w:rPr>
              <w:t xml:space="preserve">-Мансийский автономный округ – Югра</w:t>
            </w:r>
            <w:r>
              <w:rPr>
                <w:rFonts w:ascii="Times New Roman" w:hAnsi="Times New Roman" w:cs="Times New Roman"/>
                <w:bCs/>
                <w:color w:val="1f1a17"/>
                <w:spacing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г. Сургут, ул. Лермонтова, 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1a17"/>
                <w:spacing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(3462)34-10-30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hyperlink r:id="rId11" w:tooltip="mailto:SurCPSD@admhmao.ru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SurCPSD@admhmao.ru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hyperlink r:id="rId12" w:tooltip="https://zazerkalie86.su/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https://zazerkalie86.su/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15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Описание практики: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с какого года применяется;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целевые группы;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главная решаемая проблема;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цель;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основные задачи;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этапы реализации практики с указанием алгоритмов действий на каждом этапе;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ключевые организации – участники реализации практики и их роль;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 характеристики социальных сервисов, технологий, методик;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 результаты применения практики за последние годы: 2023, 2024, 2025 (раздельно по годам);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4.10. ключевые слова (теги) для поиска практики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Программа реализуется с февраля 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года, является правопреемником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комплексной программы адаптации и социализации несовершеннолетних стационарного отделения «Азбука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жизни» (сроки реализации 2015–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Целевая группа: несовершеннолетние получатели социальных услуг в возрасте от 3 лет до 18 лет, проживающие в стационарном отделении 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Нестабильное психоэмоциональное состояние несовершеннолетних, находящихся в трудной жизненной ситуации или социально опасном положении, потеря опоры и жизненных ориентиров.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оказание комплексной психолого-педагогической, социальной, правовой помощи в социальной адаптации и социализации несовершеннолетних, находящихся в трудной жизненной ситуации.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оказать социально-психолого-педагогическую помощь и поддержку несовершеннолетним и их семьям;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сформировать у несовершеннолетних правовое сознание, активную гражданскую позицию, навыки личной и социальной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способствовать развитию у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летних патриотических и духовно-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нравственных ценностей;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обучить несовершеннолетних социальным и практическим навыкам, необходимым для адаптации в микро-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макросоциуме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Программа реализуется круглогодично в условиях круглосуточного пребывания несовершеннолетних в стационарном отделении.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Подготовительный этап: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изучение психолого-педагогической, методической литературы по игровой, социальной, экологической, гражданско-патриотической деятельности и здоровому образу жизни;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защита и утверждение программы на методическом совете учреждения.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рабочих планов воспитателями, формирование пакета диагностического материала, оформление карты мониторинга изменений личности несовершеннолетнего;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пакета методических материалов (тематических воспитательных занятий, мероприятий, сценариев праздников и т. п.).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диагностика несовершеннолетних;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программы по направлениям деятельности.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этап: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результатов диагностики, полученных после проведения коррекционно-развивающих мероприятий, на выходе ребенка из учреждения;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деятельности, определение степени эффективности программы, корректировка программы;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отчетной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Ключевые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населения, опеки и попечительства по городу Сургуту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району; Комиссия по делам несовершеннолетних, защите их прав Администрации города Сургута; УМВД России по городу Сургуту; 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образования Администрации города Сургута; Медицинские учреждения – оказание максимально возможной помощи в разрешении вопросов (проблем) несовершеннолетних, проживающих в стационарном отделении, семьи в целом; защита прав и законных интересов ребенка.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Централизованная библиотечная система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Сургута; волонтерское движение «Газпром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Сургут»; школа творчества «Счастливый художник»; пожарно-спасательная часть № 41; НКО «Ассоциация интеллектуально-творческого развития личности»; АНО «Рука помощи»; Активисты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отделения «Движение Первых»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культурно-досуговых мероприятий, оказание благотворительной адресной помощи.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 В рамках реализации программы используются: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технология работы с несовершеннолетними, зачисленными в стационарное отделение 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детям», по профилактике самовольных уходов;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технология работы с родителями (законными представителями) несовершеннолетних, зачисленных на социальное обслуживание в стационарное отделение;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технология сопровождения и поддержки несовершеннолетних беременных и несовершеннолетних матерей с малолетними детьми «Маленькая мама»;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«Семейного клуба» по формированию реабилитационной среды для семей с детьми;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групповых психологических занятий с несовершеннолетними с конфликтным и агрессивным поведением;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групповой психологической работы с родителями, склонными к агрессивному поведению в отношении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 Результаты: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мероприятиях программы приняли участие 83 человека. Организовано 64 выездных мероприятия. По результатам индивидуальной и групповой работы, анализа промежуточных и итоговых психолого-педагогических диагностик выявлено: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54 несовершеннолетних (65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%) стабилизировалось психоэмоциональное состояние, наблюдается развитие навыков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отреагирования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негативных эмоций;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- 36 несовершеннолетних (43 %) овладели новыми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коппинг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-стратегиями поведения и навыками конструктивного взаимодействия в конфликтных ситуациях;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 62 несовершеннолетних (75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%) наблюдаются положительные изменения в поведении и межличностном общении;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23 несовершеннолетн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(28 %) повысился уровень правовых знаний;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51 несовершеннолетн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(61 %) повысился уровень самооценки, стали проявляться положительные качества, такие как, взаимовыручка, забота о ближнем, требовательность к себе и окружающим;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45 несовершеннолетних преимущественно дошкольного и младшего школьного возраста (54 %) повысился уровень развития культурно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гигиенических навыков и навыков самообслуживания.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мероприятиях программы приняли участие 94 человека. Организовано 45 выездных мероприятий. По результатам индивидуальной и групповой работы, анализа промежуточных и итоговых психолого-педагогических диагностик выявлено: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84 несовершеннолетних из 94 обслуженных (89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%) стабилизировалось психоэмоциональное состояние, наблюдается развитие навыков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отреагирования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негативных эмоций;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- 35 несовершеннолетних (11-17 лет) (37 %) овладели новыми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коппинг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-стратегиями поведения и навыками конструктивного взаимодействия в конфликтных ситуациях;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у 62 несовершеннолетних (66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%) наблюдаются положительные изменения в поведении и межличностном общении;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39 несовершеннолетних (11-17 лет) (41 %) повысился уровень правовых знаний;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73 несовершеннолетних (78 %) повысился уровень самооценки, стали проявляться положительные качества, такие как, взаимовыручка, забота о ближнем, требовательность к себе и окружающим;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у 38 несовершеннолетних преимущественно дошкольного и младшего школьного возраста (3-10 лет) (40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%) повысился уровень развития культурно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гигиенических навыков и навыков самообслуживания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 I полугодие в мероприятиях программы приняли участие 38 нес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овершеннолетних. Организовано 108 мероприятий, направленных на социально-правовую адаптацию, нравственно-патриотическое воспитание, социализацию и личностное развитие несовершеннолетних, психолого-педагогическую поддержку семье в период преодоления кризиса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Ресурсное обеспечение практики: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специалисты;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нормативные правовые документы;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специальное оборудование;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информационные ресурсы;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другие ресурсы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Заведующий отделением, методист, психолог, специалист по работе с семьей, воспитатель, ассистент по оказанию технической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документы: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кодекс Российской Федерации (от 29.12.1995 № 223-ФЗ);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Кодекс РФ об административных правонарушениях;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Федеральные законы: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28.12.2013 № 442-ФЗ «Об основах социального обслуживания граждан в Российской Федерации»; от 24.07.1998 № 124-ФЗ «Об основных гарантиях прав ребенка в Российской Федерации»; от 24.06.1999 № 120-ФЗ «Об основах системы профилактики безнадзорности и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вонарушений несовершеннолетних»;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Сургутский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детям» от 23.10.2019 № 15/23-П- 04-175 «О наставничестве»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Реабилитационные помещения: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сенсорная комната оборудована воздушно-пузырьковой панелью (применяется для снятия напряжения и релаксации);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фибероптической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люстрой «Фантастика»; проектором «Меркурий» с диском с изображением «Космос», «Зоопарк», «Океан», «Планеты», «Лошади», «Бабочки»; разгрузочным креслом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Трансформер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(предназначено для проведения релаксационных упражнений); ковром «Звездное небо»;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комната оборудована проектной системой «Интерактивный пол» (интерактивная напольная платформа, изображение проецируется сверху на пол, создается интерактивная графика,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которой человек своими движениями (шаг, жест) оживляет изображение) и интерактивной доской, которая позволяет усилить мотивацию ребенка. При помощи пальцев или стилусов на доске можно делать надписи и пометки поверх проецируемого изображения, редактиров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карты, таблицы, графики, схемы, рисовать, добавлять фоновые изображения, чертить фигуры, писать. Применение мультимедиа-технологий (цвета, графики, звука, современных средств видеотехники) позволяет моделировать различные ситуации и пути выхода из них;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кабинет арт-терапии оборудован световым столом с песком и видеокамерой,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(конструкторы), столом для творчества;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спортивный зал оборудован для игры в баскетбол, бадминтон, настольный теннис, а также для проведения спортивных праздников и соревнований;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игровых комнатах отдыха в группах имеется мягкая мебель, мебель для проведения реабилитационных занятий, телевизор, художественная литература, игрушки и настольные игры;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учебный класс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 системой видеонаблюдения, необходимой мебелью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школьно-письменными принадлежностями для проведения занятий по подготовке учебных заданий;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комната для встреч родственников с несовершеннолетними, проживающими в стационарном отделении, оборудована необходимой мебелью и системой видеонаблюдения;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музыкальный зал для проведения занятий и культурно-массовых мероприятий оснащен аудио-, видеоаппаратурой, проектором.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Официальный сайт учреждения: </w:t>
            </w:r>
            <w:hyperlink r:id="rId13" w:tooltip="https://zazerkalie86.su/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https://zazerkalie86.su/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ВКонтакте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tooltip="https://vk.com/zazerkalie86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https://vk.com/zazerkalie86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Одноклассники </w:t>
            </w:r>
            <w:hyperlink r:id="rId15" w:tooltip="https://ok.ru/zazerkalie86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https://ok.ru/zazerkalie86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Публичная представленность практики: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представленность практики на всероссийских мероприятиях в последние годы: 2023, 2024, 2025 (раздельно по годам);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признания (награды), которыми отмечена практика за последние 3 года;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наличие информации о практике в сети Интернет (ссылки)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2023 год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профессионального мастерства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фере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(региональный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программ социализации подростков.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2024 год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Стратегической программы Уполномоченного при Президенте Российской Федерации «Дети в семье».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Дополнительные материалы, более подробно раскрывающие практику, размещены на официальном сайте БУ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Сургутский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 социальной помощи семье и детям» </w:t>
            </w:r>
            <w:hyperlink r:id="rId16" w:tooltip="https://zazerkalie86.su/branches/hospital/metodicheskoe-obespechenie-deyatelnosti-otdeleniya426/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https://zazerkalie86.su/branches/hospital/metodicheskoe-obespechenie-deyatelnosti-otdeleniya426/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Ресурс «СОЦИОпрофи86», практики по работе с семьей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https://социопрофи.рф/ugrateka/praktiki-po-rabote-s-semey-v-trudnoy-zhiznennoy-situatsii/kompleksnaya-programma-sotsialnoy-adaptatsii-nesovershennoletnikh-prozhizn-pravila-rasstanovki-orien/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Содействие тиражированию практики: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имеющиеся методические материалы;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инструменты тиражирования (выбрать: консультация,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супервизия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наставничество, семинар или другое);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специалист организации, ответственный за содействие тиражированию практики (Ф.И.О. специалиста)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Комплексная программа социальной адаптации несовершеннолетних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ПРОжизнь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»: правила расстановки ориентиров на жизненном пути»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презентационный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Консультация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Завгородняя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Ольга Егоровна, заведующий стационарным отделением</w:t>
            </w:r>
            <w:bookmarkEnd w:id="0"/>
            <w:r/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787"/>
        </w:trPr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Дополнительная информация: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 (файл в формате </w:t>
            </w:r>
            <w:hyperlink r:id="rId17" w:tooltip="Microsoft" w:history="1">
              <w:r>
                <w:rPr>
                  <w:rStyle w:val="891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Microsoft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ppt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pptx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не более 10 Мб)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8.2. фотоматериалы (файлы в формате JPG или TIFF, 300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dpi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размер фотографии: не менее 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более 10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не более 10 штук; фотографии должны быть цветными, четкими, отражающими тематику практики)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8.3. видеоролики длительностью не более 2 минут (не более трех видеороликов)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презентация практики </w:t>
            </w:r>
            <w:hyperlink r:id="rId18" w:tooltip="https://disk.yandex.ru/i/zS3KyC1SghUEZw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https://disk.yandex.ru/i/zS3KyC1SghUEZw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фотоматериалы </w:t>
            </w:r>
            <w:hyperlink r:id="rId19" w:tooltip="https://disk.yandex.ru/d/jc4Ksgo5dUFmJw" w:history="1">
              <w:r>
                <w:rPr>
                  <w:rStyle w:val="891"/>
                  <w:rFonts w:ascii="Times New Roman" w:hAnsi="Times New Roman"/>
                  <w:sz w:val="24"/>
                  <w:szCs w:val="24"/>
                </w:rPr>
                <w:t xml:space="preserve">https://disk.yandex.ru/d/jc4Ksgo5dUFmJw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_AntiqueTradyNr"/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3317240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7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37"/>
    <w:uiPriority w:val="29"/>
    <w:rPr>
      <w:i/>
    </w:rPr>
  </w:style>
  <w:style w:type="character" w:styleId="41">
    <w:name w:val="Intense Quote Char"/>
    <w:link w:val="739"/>
    <w:uiPriority w:val="30"/>
    <w:rPr>
      <w:i/>
    </w:rPr>
  </w:style>
  <w:style w:type="character" w:styleId="176">
    <w:name w:val="Footnote Text Char"/>
    <w:link w:val="870"/>
    <w:uiPriority w:val="99"/>
    <w:rPr>
      <w:sz w:val="18"/>
    </w:rPr>
  </w:style>
  <w:style w:type="character" w:styleId="179">
    <w:name w:val="Endnote Text Char"/>
    <w:link w:val="873"/>
    <w:uiPriority w:val="99"/>
    <w:rPr>
      <w:sz w:val="20"/>
    </w:rPr>
  </w:style>
  <w:style w:type="paragraph" w:styleId="71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714">
    <w:name w:val="Heading 1"/>
    <w:basedOn w:val="713"/>
    <w:next w:val="713"/>
    <w:link w:val="72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3"/>
    <w:uiPriority w:val="10"/>
    <w:rPr>
      <w:sz w:val="48"/>
      <w:szCs w:val="48"/>
    </w:rPr>
  </w:style>
  <w:style w:type="character" w:styleId="736" w:customStyle="1">
    <w:name w:val="Subtitle Char"/>
    <w:basedOn w:val="723"/>
    <w:uiPriority w:val="11"/>
    <w:rPr>
      <w:sz w:val="24"/>
      <w:szCs w:val="24"/>
    </w:rPr>
  </w:style>
  <w:style w:type="paragraph" w:styleId="737">
    <w:name w:val="Quote"/>
    <w:basedOn w:val="713"/>
    <w:next w:val="713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13"/>
    <w:next w:val="713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723"/>
    <w:uiPriority w:val="99"/>
  </w:style>
  <w:style w:type="character" w:styleId="742" w:customStyle="1">
    <w:name w:val="Footer Char"/>
    <w:basedOn w:val="723"/>
    <w:uiPriority w:val="99"/>
  </w:style>
  <w:style w:type="paragraph" w:styleId="743">
    <w:name w:val="Caption"/>
    <w:basedOn w:val="713"/>
    <w:next w:val="71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0">
    <w:name w:val="footnote text"/>
    <w:basedOn w:val="713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23"/>
    <w:uiPriority w:val="99"/>
    <w:unhideWhenUsed/>
    <w:rPr>
      <w:vertAlign w:val="superscript"/>
    </w:rPr>
  </w:style>
  <w:style w:type="paragraph" w:styleId="873">
    <w:name w:val="endnote text"/>
    <w:basedOn w:val="713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23"/>
    <w:uiPriority w:val="99"/>
    <w:semiHidden/>
    <w:unhideWhenUsed/>
    <w:rPr>
      <w:vertAlign w:val="superscript"/>
    </w:rPr>
  </w:style>
  <w:style w:type="paragraph" w:styleId="876">
    <w:name w:val="toc 1"/>
    <w:basedOn w:val="713"/>
    <w:next w:val="713"/>
    <w:uiPriority w:val="39"/>
    <w:unhideWhenUsed/>
    <w:pPr>
      <w:spacing w:after="57"/>
    </w:pPr>
  </w:style>
  <w:style w:type="paragraph" w:styleId="877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78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79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0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1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2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3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4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13"/>
    <w:next w:val="713"/>
    <w:uiPriority w:val="99"/>
    <w:unhideWhenUsed/>
    <w:pPr>
      <w:spacing w:after="0"/>
    </w:pPr>
  </w:style>
  <w:style w:type="table" w:styleId="887">
    <w:name w:val="Table Grid"/>
    <w:basedOn w:val="72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8">
    <w:name w:val="Balloon Text"/>
    <w:basedOn w:val="713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723"/>
    <w:link w:val="888"/>
    <w:uiPriority w:val="99"/>
    <w:semiHidden/>
    <w:rPr>
      <w:rFonts w:ascii="Segoe UI" w:hAnsi="Segoe UI" w:eastAsia="Calibri" w:cs="Segoe UI"/>
      <w:sz w:val="18"/>
      <w:szCs w:val="18"/>
    </w:rPr>
  </w:style>
  <w:style w:type="paragraph" w:styleId="890">
    <w:name w:val="No Spacing"/>
    <w:link w:val="900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1">
    <w:name w:val="Hyperlink"/>
    <w:basedOn w:val="723"/>
    <w:uiPriority w:val="99"/>
    <w:unhideWhenUsed/>
    <w:rPr>
      <w:color w:val="0563c1" w:themeColor="hyperlink"/>
      <w:u w:val="single"/>
    </w:rPr>
  </w:style>
  <w:style w:type="paragraph" w:styleId="892">
    <w:name w:val="List Paragraph"/>
    <w:basedOn w:val="713"/>
    <w:link w:val="90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3">
    <w:name w:val="Header"/>
    <w:basedOn w:val="713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723"/>
    <w:link w:val="893"/>
    <w:uiPriority w:val="99"/>
    <w:rPr>
      <w:rFonts w:ascii="Calibri" w:hAnsi="Calibri" w:eastAsia="Calibri" w:cs="Times New Roman"/>
    </w:rPr>
  </w:style>
  <w:style w:type="paragraph" w:styleId="895">
    <w:name w:val="Footer"/>
    <w:basedOn w:val="713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723"/>
    <w:link w:val="895"/>
    <w:uiPriority w:val="99"/>
    <w:rPr>
      <w:rFonts w:ascii="Calibri" w:hAnsi="Calibri" w:eastAsia="Calibri" w:cs="Times New Roman"/>
    </w:rPr>
  </w:style>
  <w:style w:type="paragraph" w:styleId="897">
    <w:name w:val="Body Text 3"/>
    <w:basedOn w:val="713"/>
    <w:link w:val="898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898" w:customStyle="1">
    <w:name w:val="Основной текст 3 Знак"/>
    <w:basedOn w:val="723"/>
    <w:link w:val="897"/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899" w:customStyle="1">
    <w:name w:val="Сетка таблицы1"/>
    <w:basedOn w:val="724"/>
    <w:next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0" w:customStyle="1">
    <w:name w:val="Без интервала Знак"/>
    <w:basedOn w:val="723"/>
    <w:link w:val="890"/>
    <w:uiPriority w:val="1"/>
    <w:rPr>
      <w:rFonts w:ascii="Calibri" w:hAnsi="Calibri" w:eastAsia="Times New Roman" w:cs="Times New Roman"/>
      <w:lang w:eastAsia="ru-RU"/>
    </w:rPr>
  </w:style>
  <w:style w:type="paragraph" w:styleId="901">
    <w:name w:val="Subtitle"/>
    <w:basedOn w:val="713"/>
    <w:link w:val="902"/>
    <w:qFormat/>
    <w:pPr>
      <w:jc w:val="center"/>
      <w:spacing w:after="0" w:line="240" w:lineRule="auto"/>
    </w:pPr>
    <w:rPr>
      <w:rFonts w:ascii="a_AntiqueTradyNr" w:hAnsi="a_AntiqueTradyNr" w:eastAsia="Times New Roman"/>
      <w:sz w:val="24"/>
      <w:szCs w:val="20"/>
      <w:lang w:eastAsia="ru-RU"/>
    </w:rPr>
  </w:style>
  <w:style w:type="character" w:styleId="902" w:customStyle="1">
    <w:name w:val="Подзаголовок Знак"/>
    <w:basedOn w:val="723"/>
    <w:link w:val="901"/>
    <w:rPr>
      <w:rFonts w:ascii="a_AntiqueTradyNr" w:hAnsi="a_AntiqueTradyNr" w:eastAsia="Times New Roman" w:cs="Times New Roman"/>
      <w:sz w:val="24"/>
      <w:szCs w:val="20"/>
      <w:lang w:eastAsia="ru-RU"/>
    </w:rPr>
  </w:style>
  <w:style w:type="character" w:styleId="903" w:customStyle="1">
    <w:name w:val="Font Style14"/>
    <w:uiPriority w:val="99"/>
    <w:rPr>
      <w:rFonts w:ascii="Times New Roman" w:hAnsi="Times New Roman"/>
      <w:b/>
      <w:color w:val="000000"/>
      <w:sz w:val="26"/>
    </w:rPr>
  </w:style>
  <w:style w:type="table" w:styleId="904" w:customStyle="1">
    <w:name w:val="Сетка таблицы2"/>
    <w:basedOn w:val="724"/>
    <w:next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>
    <w:name w:val="Normal (Web)"/>
    <w:basedOn w:val="7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6" w:customStyle="1">
    <w:name w:val="result__item-val"/>
    <w:basedOn w:val="723"/>
  </w:style>
  <w:style w:type="character" w:styleId="907" w:customStyle="1">
    <w:name w:val="Абзац списка Знак"/>
    <w:link w:val="892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8" w:customStyle="1">
    <w:name w:val="Сетка таблицы3"/>
    <w:basedOn w:val="724"/>
    <w:next w:val="88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>
    <w:name w:val="Title"/>
    <w:basedOn w:val="713"/>
    <w:next w:val="713"/>
    <w:link w:val="910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10" w:customStyle="1">
    <w:name w:val="Название Знак"/>
    <w:basedOn w:val="723"/>
    <w:link w:val="90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11" w:customStyle="1">
    <w:name w:val="Unresolved Mention"/>
    <w:basedOn w:val="723"/>
    <w:uiPriority w:val="99"/>
    <w:semiHidden/>
    <w:unhideWhenUsed/>
    <w:rPr>
      <w:color w:val="605e5c"/>
      <w:shd w:val="clear" w:color="auto" w:fill="e1dfdd"/>
    </w:rPr>
  </w:style>
  <w:style w:type="character" w:styleId="912">
    <w:name w:val="FollowedHyperlink"/>
    <w:basedOn w:val="72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SurCPSD@admhmao.ru" TargetMode="External"/><Relationship Id="rId12" Type="http://schemas.openxmlformats.org/officeDocument/2006/relationships/hyperlink" Target="https://zazerkalie86.su/" TargetMode="External"/><Relationship Id="rId13" Type="http://schemas.openxmlformats.org/officeDocument/2006/relationships/hyperlink" Target="https://zazerkalie86.su/" TargetMode="External"/><Relationship Id="rId14" Type="http://schemas.openxmlformats.org/officeDocument/2006/relationships/hyperlink" Target="https://vk.com/zazerkalie86" TargetMode="External"/><Relationship Id="rId15" Type="http://schemas.openxmlformats.org/officeDocument/2006/relationships/hyperlink" Target="https://ok.ru/zazerkalie86" TargetMode="External"/><Relationship Id="rId16" Type="http://schemas.openxmlformats.org/officeDocument/2006/relationships/hyperlink" Target="https://zazerkalie86.su/branches/hospital/metodicheskoe-obespechenie-deyatelnosti-otdeleniya426/" TargetMode="External"/><Relationship Id="rId17" Type="http://schemas.openxmlformats.org/officeDocument/2006/relationships/hyperlink" Target="https://ru.wikipedia.org/wiki/Microsoft" TargetMode="External"/><Relationship Id="rId18" Type="http://schemas.openxmlformats.org/officeDocument/2006/relationships/hyperlink" Target="https://disk.yandex.ru/i/zS3KyC1SghUEZw" TargetMode="External"/><Relationship Id="rId19" Type="http://schemas.openxmlformats.org/officeDocument/2006/relationships/hyperlink" Target="https://disk.yandex.ru/d/jc4Ksgo5dUFmJ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FE4A-50AC-465F-B252-6B5F6D8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Ресурсный Центр</cp:lastModifiedBy>
  <cp:revision>43</cp:revision>
  <dcterms:created xsi:type="dcterms:W3CDTF">2024-05-22T06:37:00Z</dcterms:created>
  <dcterms:modified xsi:type="dcterms:W3CDTF">2025-08-13T05:42:39Z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1549663432</vt:i4>
  </property>
</Properties>
</file>